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天津市妇女儿童社会服务中心</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天津市妇女儿童社会服务中心</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开展全市妇女、儿童及家庭的公益服务和文化交流活动；管理、使用、维护妇女儿童活动阵地；引导、培养、服务女性社会组织发展和参与社会服务，为女性创新创业提供相关服务；承担市妇联机关电子政务、新媒体、妇联网站等网络信息的日常管理、网络宣传及舆情应对；承担妇联实业的综合管理和业务指导</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天津市妇女儿童社会服务中心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天津市妇女儿童社会服务中心</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天津市妇女儿童社会服务中心</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4712460.52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5901255.58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1833553.53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548000.00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341754.23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1076.53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6547090.58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6791009.81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243919.23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6791009.81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6791009.81</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天津市妇女儿童社会服务中心</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6547090.58</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4712460.52</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1833553.53</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1076.53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5657336.35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4095579.89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1560679.93</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1076.53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群众团体事务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5657336.35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4095579.89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1560679.93</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1076.53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5487337.22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3925580.76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1560679.93</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1076.53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169999.13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169999.13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358000.00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190000.00</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358000.00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190000.00</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351781.12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112781.12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196218.88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77218.88</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341754.23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258880.63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82873.60</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341754.23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258880.63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82873.60</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245273.60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162400.00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82873.60</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96480.63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96480.63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天津市妇女儿童社会服务中心</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6791009.81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6547090.58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4712460.52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1833553.53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1076.53</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562202</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天津市妇女儿童社会服务中心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6791009.81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6547090.58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4712460.52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1833553.53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1076.53</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天津市妇女儿童社会服务中心</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243919.23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243919.23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243919.23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562202</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天津市妇女儿童社会服务中心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243919.23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243919.23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243919.23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天津市妇女儿童社会服务中心</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6791009.81</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4787457.15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169999.13</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1833553.53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5901255.58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4170576.52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169999.13</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1560679.93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群众团体事务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5901255.58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4170576.52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169999.13</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1560679.93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5731256.45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4170576.52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1560679.93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169999.13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169999.13</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190000.00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190000.00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351781.12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112781.12</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196218.88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77218.88</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341754.23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258880.63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82873.60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341754.23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258880.63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82873.60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245273.60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162400.00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82873.60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96480.63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96480.63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天津市妇女儿童社会服务中心</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4712460.52</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4095579.89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4095579.89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358000.00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358000.00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258880.63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258880.63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4712460.52</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4712460.52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4712460.52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4712460.52</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4712460.52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4712460.52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天津市妇女儿童社会服务中心</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4712460.52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4542461.39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4108011.39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434450.00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169999.13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4095579.89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3925580.76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3491130.76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434450.00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169999.13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群众团体事务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4095579.89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3925580.76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3491130.76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434450.00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169999.13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3925580.76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3925580.76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3491130.76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434450.00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169999.13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169999.13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258880.63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258880.63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258880.63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258880.63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258880.63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258880.63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96480.63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96480.63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96480.63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天津市妇女儿童社会服务中心</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3911861.96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434450.00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896152.89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22164.71</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2322.60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1011791.07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35194.31</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10491.28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162400.00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119874.26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944518.00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196149.43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9754.00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128668.80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34200.00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67480.63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100267.00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32358.46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18543.38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5280.00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4108011.39</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434450.00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天津市妇女儿童社会服务中心</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天津市妇女儿童社会服务中心2025年度政府性基金预算财政拨款收入支出决算表为空表。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天津市妇女儿童社会服务中心</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天津市妇女儿童社会服务中心2025年度国有资本经营预算财政拨款收入支出决算表为空表。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天津市妇女儿童社会服务中心</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天津市妇女儿童社会服务中心2025年财政拨款“三公”经费支出决算表为空表。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天津市妇女儿童社会服务中心</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169999.13</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169999.13</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169999.13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169999.13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群众团体事务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169999.13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169999.13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其他群众团体事务支出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169999.13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169999.13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2025年服务妇女儿童公益项目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49999.13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49999.13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天津市妇女儿童社会服务中心社服大厦场地维修项目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天津市妇女儿童社会服务中心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6,791,009.81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减少50,124.03元，下降0.73%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本年比上年人数减少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一般公共预算财政拨款收入4,712,460.52元、事业单位经营收入1,833,553.53元、其他收入1,076.53元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一般公共服务支出5,901,255.58元、社会保障和就业支出548,000.00元、卫生健康支出341,754.23元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天津市妇女儿童社会服务中心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6,547,090.58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增加77,374.38元，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本年度项目经费增加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一般公共预算财政拨款收入4,712,460.52元，占71.98%；事业单位经营收入1,833,553.53元，占28.01%；其他收入1,076.53元，占0.02%</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天津市妇女儿童社会服务中心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6,791,009.81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增加63,525.78元，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本年项目经费支出增加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基本支出4,787,457.15元，占70.50%；项目支出169,999.13元，占2.50%；经营支出1,833,553.53元，占27.00%</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天津市妇女儿童社会服务中心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4,712,460.52</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增加212,967.94元，增长4.73%，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本年度增加了一个项目，项目经费收支均增加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一般公共预算财政拨款4,712,460.52元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一般公共服务支出4,095,579.89元、社会保障和就业支出358,000.00元、卫生健康支出258,880.63元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天津市妇女儿童社会服务中心2025年度一般公共预算财政拨款支出合计4,712,460.52元，占本年支出合计的69.39%。与2024年度相比，一般公共预算财政拨款支出</w:t>
      </w:r>
      <w:r>
        <w:rPr>
          <w:rFonts w:eastAsia="仿宋_GB2312" w:hint="eastAsia"/>
          <w:sz w:val="30"/>
          <w:szCs w:val="30"/>
          <w:highlight w:val="none"/>
          <w:lang w:val="en-US" w:eastAsia="zh-CN"/>
        </w:rPr>
        <w:t xml:space="preserve">增加212,967.94元</w:t>
      </w:r>
      <w:r>
        <w:rPr>
          <w:rFonts w:eastAsia="仿宋_GB2312" w:hint="eastAsia"/>
          <w:sz w:val="30"/>
          <w:szCs w:val="30"/>
          <w:highlight w:val="none"/>
          <w:lang w:val="en-US" w:eastAsia="zh-CN"/>
        </w:rPr>
        <w:t xml:space="preserve">，增长4.73%</w:t>
      </w:r>
      <w:r>
        <w:rPr>
          <w:rFonts w:eastAsia="仿宋_GB2312" w:hint="eastAsia"/>
          <w:sz w:val="30"/>
          <w:szCs w:val="30"/>
          <w:highlight w:val="none"/>
          <w:lang w:val="en-US" w:eastAsia="zh-CN"/>
        </w:rPr>
        <w:t xml:space="preserve">，主要原因是项目经费增加。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2025年度一般公共预算财政拨款支出4,712,460.52元，主要用于以下方面：</w:t>
      </w:r>
      <w:r>
        <w:rPr>
          <w:rFonts w:eastAsia="仿宋_GB2312" w:hint="eastAsia"/>
          <w:sz w:val="30"/>
          <w:szCs w:val="30"/>
          <w:highlight w:val="none"/>
        </w:rPr>
        <w:t xml:space="preserve">一般公共服务支出（类）支出4,095,579.89元，占86.91%，社会保障和就业支出（类）支出358,000.00元，占7.60%，卫生健康支出（类）支出258,880.63元，占5.49%</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2025年度一般公共预算财政拨款支出年初预算为4,623,000.00元，支出决算为4,712,460.52元</w:t>
      </w:r>
      <w:r>
        <w:rPr>
          <w:rFonts w:eastAsia="仿宋_GB2312" w:hint="eastAsia"/>
          <w:sz w:val="30"/>
          <w:szCs w:val="30"/>
          <w:highlight w:val="none"/>
          <w:lang w:val="en-US" w:eastAsia="zh-CN"/>
        </w:rPr>
        <w:t xml:space="preserve">，完成年初预算的101.94%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1.一般公共服务支出（类）群众团体事务（款）事业运行（项）年初预算为3,834,000.00元，支出决算为3,925,580.76元，完成年初预算的102.39%，决算数大于年初预算数的主要原因是：本年度新增一人。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2.一般公共服务支出（类）群众团体事务（款）其他群众团体事务支出（项）年初预算为170,000.00元，支出决算为169,999.13元，完成年初预算的100.00%，决算数小于年初预算数的主要原因是：二者基本持平。</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基本养老保险缴费支出（项）年初预算为239,000.00元，支出决算为239,000.00元，完成年初预算的100.00%，决算数与年初预算数持平的主要原因是：预算计划执行准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职业年金缴费支出（项）年初预算为119,000.00元，支出决算为119,000.00元，完成年初预算的100.00%，决算数与年初预算数持平的主要原因是：预算计划执行准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5.卫生健康支出（类）行政事业单位医疗（款）事业单位医疗（项）年初预算为157,000.00元，支出决算为162,400.00元，完成年初预算的103.44%，决算数大于年初预算数的主要原因是：本年度我中心增加1人。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其他行政事业单位医疗支出（项）年初预算为104,000.00元，支出决算为96,480.63元，完成年初预算的92.77%，决算数小于年初预算数的主要原因是：退休人员医疗费支出减少</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天津市妇女儿童社会服务中心2025年度一般公共预算财政拨款基本支出合计4,542,461.39元，与2024年度相比</w:t>
      </w:r>
      <w:r>
        <w:rPr>
          <w:rFonts w:eastAsia="仿宋_GB2312" w:hint="eastAsia"/>
          <w:sz w:val="30"/>
          <w:szCs w:val="30"/>
          <w:highlight w:val="none"/>
          <w:lang w:val="en-US" w:eastAsia="zh-CN"/>
        </w:rPr>
        <w:t xml:space="preserve">增加92,932.39元，</w:t>
      </w:r>
      <w:r>
        <w:rPr>
          <w:rFonts w:eastAsia="仿宋_GB2312" w:hint="eastAsia"/>
          <w:sz w:val="30"/>
          <w:szCs w:val="30"/>
          <w:highlight w:val="none"/>
          <w:lang w:val="en-US" w:eastAsia="zh-CN"/>
        </w:rPr>
        <w:t xml:space="preserve">主要原因是本年度新增一人。</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人员经费4,108,011.39元，主要包括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基本工资、津贴补贴、绩效工资、机关事业单位基本养老保险缴费、职业年金缴费、职工基本医疗保险缴费、其他社会保障缴费、住房公积金、医疗费、退休费、医疗费补助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公用经费434,450.00元，主要包括</w:t>
      </w:r>
      <w:r>
        <w:rPr>
          <w:rFonts w:eastAsia="仿宋_GB2312" w:hint="eastAsia"/>
          <w:sz w:val="30"/>
          <w:szCs w:val="30"/>
          <w:highlight w:val="none"/>
          <w:lang w:val="en-US" w:eastAsia="zh-CN"/>
        </w:rPr>
        <w:t xml:space="preserve">办公费、水费、电费、邮电费、物业管理费、差旅费、培训费、劳务费、工会经费、福利费、其他交通费用、税金及附加费用、其他商品和服务支出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天津市妇女儿童社会服务中心2025年度无政府性基金预算财政拨款收入、支出和结转结余。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天津市妇女儿童社会服务中心2025年度无国有资本经营预算财政拨款收入、支出和结转结余。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决算数与预算数持平的主要原因是未用财政拨款经费列支因公出国（境）费；</w:t>
      </w:r>
      <w:r>
        <w:rPr>
          <w:rFonts w:eastAsia="仿宋_GB2312" w:hint="eastAsia"/>
          <w:sz w:val="30"/>
          <w:szCs w:val="30"/>
          <w:highlight w:val="none"/>
          <w:lang w:val="en-US" w:eastAsia="zh-CN"/>
        </w:rPr>
        <w:t xml:space="preserve">决算数较上年持平的主要原因是未用财政拨款经费列支因公出国（境）费。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天津市妇女儿童社会服务中心2025年度无机关运行经费。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天津市妇女儿童社会服务中心2025年度无政府采购支出。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天津市妇女儿童社会服务中心2025年度无国有资产占有使用情况。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根据预算绩效管理要求，天津市妇女儿童社会服务中心2025年度已对2个市级项目开展绩效自评，涉及金额169,999.13元，自评结果已随部门决算一并公开。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天津市妇女儿童社会服务中心不属于乡、镇、街级单位，不涉及公开2025年度教育、医疗卫生、社会保障和就业、住房保障、涉农补贴等民生支出情况。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BDE37229-C858-4813-949F-990FBEACC334}"/>
    <w:embedBold r:id="rId2" w:subsetted="1" w:fontKey="{3C8A935C-615D-4A35-9F67-9AC5C4CC37D8}"/>
  </w:font>
  <w:font w:name="Cambria">
    <w:panose1 w:val="02040503050406030204"/>
    <w:charset w:val="00"/>
    <w:family w:val="roman"/>
    <w:pitch w:val="default"/>
    <w:sig w:usb0="E00006FF" w:usb1="420024FF" w:usb2="02000000" w:usb3="00000000" w:csb0="2000019F" w:csb1="00000000"/>
    <w:embedRegular r:id="rId3" w:fontKey="{2942368D-8670-4953-982D-390732D4B3F3}"/>
  </w:font>
  <w:font w:name="Calibri">
    <w:panose1 w:val="020F0502020204030204"/>
    <w:charset w:val="00"/>
    <w:family w:val="swiss"/>
    <w:pitch w:val="default"/>
    <w:sig w:usb0="E4002EFF" w:usb1="C200247B" w:usb2="00000009" w:usb3="00000000" w:csb0="200001FF" w:csb1="00000000"/>
    <w:embedRegular r:id="rId4" w:fontKey="{F2DBB7A7-B5DA-411A-ACEE-B04C99EA6457}"/>
  </w:font>
  <w:font w:name="黑体">
    <w:panose1 w:val="02010609060101010101"/>
    <w:charset w:val="FFFFFF86"/>
    <w:family w:val="auto"/>
    <w:pitch w:val="default"/>
    <w:sig w:usb0="800002BF" w:usb1="38CF7CFA" w:usb2="00000016" w:usb3="00000000" w:csb0="00040001" w:csb1="00000000"/>
    <w:embedRegular r:id="rId5" w:subsetted="1" w:fontKey="{3B492E56-2405-4D15-B5F1-42000E155F32}"/>
    <w:embedBold r:id="rId6" w:subsetted="1" w:fontKey="{B465788B-E5EF-40E6-AE28-551F1CC13509}"/>
  </w:font>
  <w:font w:name="方正小标宋简体">
    <w:altName w:val="黑体"/>
    <w:panose1 w:val="02000000000000000000"/>
    <w:charset w:val="FFFFFF86"/>
    <w:family w:val="auto"/>
    <w:pitch w:val="default"/>
    <w:sig w:usb0="00000001" w:usb1="08000000" w:usb2="00000000" w:usb3="00000000" w:csb0="00040000" w:csb1="00000000"/>
    <w:embedRegular r:id="rId7" w:fontKey="{1F4EBF44-E704-49D9-A01D-9E6913BD3ECE}"/>
    <w:embedBold r:id="rId8" w:fontKey="{0DA25DCB-9082-4E65-9B60-339D3F5C46B2}"/>
  </w:font>
  <w:font w:name="仿宋">
    <w:panose1 w:val="02010609060101010101"/>
    <w:charset w:val="FFFFFF86"/>
    <w:family w:val="auto"/>
    <w:pitch w:val="default"/>
    <w:sig w:usb0="800002BF" w:usb1="38CF7CFA" w:usb2="00000016" w:usb3="00000000" w:csb0="00040001" w:csb1="00000000"/>
    <w:embedRegular r:id="rId9" w:subsetted="1" w:fontKey="{BB4219E0-3883-4307-8DC0-FB3E376FA788}"/>
  </w:font>
  <w:font w:name="方正仿宋_GB2312">
    <w:altName w:val="仿宋"/>
    <w:panose1 w:val="02000000000000000000"/>
    <w:charset w:val="FFFFFF86"/>
    <w:family w:val="auto"/>
    <w:pitch w:val="default"/>
    <w:sig w:usb0="A00002BF" w:usb1="184F6CFA" w:usb2="00000012" w:usb3="00000000" w:csb0="00040001" w:csb1="00000000"/>
    <w:embedRegular r:id="rId10" w:fontKey="{ED0E439F-5799-474B-9D04-EA3C7024D110}"/>
  </w:font>
  <w:font w:name="仿宋_GB2312">
    <w:altName w:val="仿宋"/>
    <w:panose1 w:val="02010609030101010101"/>
    <w:charset w:val="FFFFFF86"/>
    <w:family w:val="auto"/>
    <w:pitch w:val="default"/>
    <w:sig w:usb0="00000001" w:usb1="080E0000" w:usb2="00000000" w:usb3="00000000" w:csb0="00040000" w:csb1="00000000"/>
    <w:embedRegular r:id="rId11" w:fontKey="{F5EE4F8A-6EB9-4A76-958B-CC581394C69A}"/>
  </w:font>
  <w:font w:name="方正楷体_GB2312">
    <w:altName w:val="宋体"/>
    <w:panose1 w:val="02000000000000000000"/>
    <w:charset w:val="FFFFFF86"/>
    <w:family w:val="auto"/>
    <w:pitch w:val="default"/>
    <w:sig w:usb0="A00002BF" w:usb1="184F6CFA" w:usb2="00000012" w:usb3="00000000" w:csb0="00040001" w:csb1="00000000"/>
    <w:embedRegular r:id="rId12" w:fontKey="{4FCAA40C-57DE-43D3-9793-9F5EBFA5538C}"/>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22411145-5CAB-4536-8301-ABBED1C022A0}"/>
    <w:embedBold r:id="rId14" w:subsetted="1" w:fontKey="{02A95E36-7E82-426E-B064-7341A1B9E670}"/>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26</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29</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